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29263" w14:textId="3B7B9407" w:rsidR="007657EF" w:rsidRDefault="007657EF" w:rsidP="007657EF">
      <w:pPr>
        <w:ind w:left="708"/>
        <w:rPr>
          <w:rFonts w:ascii="Lucida Sans" w:hAnsi="Lucida Sans"/>
          <w:sz w:val="28"/>
          <w:szCs w:val="28"/>
        </w:rPr>
      </w:pPr>
    </w:p>
    <w:p w14:paraId="660AD216" w14:textId="1361EDD2" w:rsidR="007657EF" w:rsidRPr="004D10AD" w:rsidRDefault="007769A4" w:rsidP="008A7132">
      <w:pPr>
        <w:rPr>
          <w:rFonts w:ascii="Lucida Sans" w:hAnsi="Lucida Sans"/>
          <w:sz w:val="24"/>
          <w:szCs w:val="24"/>
        </w:rPr>
      </w:pPr>
      <w:r w:rsidRPr="004D10AD">
        <w:rPr>
          <w:rFonts w:ascii="Lucida Sans" w:eastAsia="Lucida Sans" w:hAnsi="Lucida Sans" w:cs="Lucida Sans"/>
          <w:sz w:val="24"/>
          <w:szCs w:val="24"/>
          <w:lang w:bidi="fr-FR"/>
        </w:rPr>
        <w:t xml:space="preserve">Intelligent et durable </w:t>
      </w:r>
    </w:p>
    <w:p w14:paraId="4EF99EC3" w14:textId="542D735B" w:rsidR="00C470E6" w:rsidRPr="004D10AD" w:rsidRDefault="00C8363A" w:rsidP="008A7132">
      <w:pPr>
        <w:rPr>
          <w:rFonts w:ascii="Lucida Sans" w:hAnsi="Lucida Sans"/>
          <w:b/>
          <w:bCs/>
          <w:sz w:val="44"/>
          <w:szCs w:val="44"/>
        </w:rPr>
      </w:pPr>
      <w:r w:rsidRPr="004D10AD">
        <w:rPr>
          <w:rFonts w:ascii="Lucida Sans" w:eastAsia="Lucida Sans" w:hAnsi="Lucida Sans" w:cs="Lucida Sans"/>
          <w:b/>
          <w:sz w:val="44"/>
          <w:szCs w:val="44"/>
          <w:lang w:bidi="fr-FR"/>
        </w:rPr>
        <w:t>L’efficacité à son maximum – le nouveau sécheur frigorifique de BOGE pose de nouvelles références</w:t>
      </w:r>
    </w:p>
    <w:p w14:paraId="5231DDD3" w14:textId="77777777" w:rsidR="007657EF" w:rsidRPr="004D10AD" w:rsidRDefault="007657EF" w:rsidP="007657EF">
      <w:pPr>
        <w:ind w:left="708"/>
        <w:rPr>
          <w:rFonts w:ascii="Lucida Sans" w:hAnsi="Lucida Sans"/>
          <w:b/>
          <w:bCs/>
          <w:sz w:val="24"/>
          <w:szCs w:val="24"/>
        </w:rPr>
      </w:pPr>
    </w:p>
    <w:p w14:paraId="3DC69278" w14:textId="630826AF" w:rsidR="004829AE" w:rsidRPr="004D10AD" w:rsidRDefault="005B47BD" w:rsidP="008C6928">
      <w:pPr>
        <w:pBdr>
          <w:bottom w:val="single" w:sz="6" w:space="1" w:color="auto"/>
        </w:pBdr>
        <w:spacing w:line="360" w:lineRule="auto"/>
        <w:jc w:val="both"/>
        <w:rPr>
          <w:rFonts w:ascii="Arial" w:hAnsi="Arial" w:cs="Arial"/>
          <w:b/>
          <w:bCs/>
        </w:rPr>
      </w:pPr>
      <w:r w:rsidRPr="004D10AD">
        <w:rPr>
          <w:rFonts w:ascii="Arial" w:eastAsia="Arial" w:hAnsi="Arial" w:cs="Arial"/>
          <w:b/>
          <w:lang w:bidi="fr-FR"/>
        </w:rPr>
        <w:t>Empreinte carbone et consommation minimales : avec le nouveau sécheur frigorifique DT, BOGE pose de nouvelles références. Le compresseur frigorifique à fréquence variable et le ventilateur à vitesse variable ne sont que deux exemples des astuces d’équipement assurant un fonctionnement optimal adapté aux besoins réels. Les nouveaux modèles sont également particulièrement respectueux de l’environnement.</w:t>
      </w:r>
    </w:p>
    <w:p w14:paraId="196DDFC6" w14:textId="1D0114CA" w:rsidR="000A2F84" w:rsidRPr="004D10AD" w:rsidRDefault="007476D3" w:rsidP="00B72B51">
      <w:pPr>
        <w:pBdr>
          <w:bottom w:val="single" w:sz="6" w:space="1" w:color="auto"/>
        </w:pBdr>
        <w:spacing w:line="360" w:lineRule="auto"/>
        <w:jc w:val="both"/>
        <w:rPr>
          <w:rFonts w:ascii="Arial" w:hAnsi="Arial" w:cs="Arial"/>
          <w:bCs/>
        </w:rPr>
      </w:pPr>
      <w:r w:rsidRPr="004D10AD">
        <w:rPr>
          <w:rFonts w:ascii="Arial" w:eastAsia="Arial" w:hAnsi="Arial" w:cs="Arial"/>
          <w:lang w:bidi="fr-FR"/>
        </w:rPr>
        <w:t>Ce bilan énergétique est unique. En étendant sa série de sécheurs frigorifiques DT, le spécialiste de l’air comprimé de Bielefeld éclipse les produits de même type. Aux sécheurs frigorifiques DT 4 à DT 140, qui, avec un débit d'air de 0,4 à 14 m</w:t>
      </w:r>
      <w:r w:rsidRPr="004D10AD">
        <w:rPr>
          <w:rFonts w:ascii="Arial" w:eastAsia="Arial" w:hAnsi="Arial" w:cs="Arial"/>
          <w:vertAlign w:val="superscript"/>
          <w:lang w:bidi="fr-FR"/>
        </w:rPr>
        <w:t>3</w:t>
      </w:r>
      <w:r w:rsidRPr="004D10AD">
        <w:rPr>
          <w:rFonts w:ascii="Arial" w:eastAsia="Arial" w:hAnsi="Arial" w:cs="Arial"/>
          <w:lang w:bidi="fr-FR"/>
        </w:rPr>
        <w:t>/min, assurent un point de rosée constant de 3 C, viennent désormais s’ajouter les nouveaux modèles ayant un débit d'air de 18 à 75 m³/min. Ils sont à fréquence fixe ou variable, et existent également avec un refroidissement à l’eau en option. L’un des éléments marquants de la nouvelle génération est le compresseur frigorifique à spirale, qui existe également en version à fréquence variable à partir d’un débit de 18 m</w:t>
      </w:r>
      <w:r w:rsidRPr="004D10AD">
        <w:rPr>
          <w:rFonts w:ascii="Arial" w:eastAsia="Arial" w:hAnsi="Arial" w:cs="Arial"/>
          <w:vertAlign w:val="superscript"/>
          <w:lang w:bidi="fr-FR"/>
        </w:rPr>
        <w:t>3</w:t>
      </w:r>
      <w:r w:rsidRPr="004D10AD">
        <w:rPr>
          <w:rFonts w:ascii="Arial" w:eastAsia="Arial" w:hAnsi="Arial" w:cs="Arial"/>
          <w:lang w:bidi="fr-FR"/>
        </w:rPr>
        <w:t xml:space="preserve">/min (DT 180 F). </w:t>
      </w:r>
    </w:p>
    <w:p w14:paraId="3F8CA1F6" w14:textId="5AAA3F34" w:rsidR="004829AE" w:rsidRPr="004D10AD" w:rsidRDefault="00F13B89" w:rsidP="008C6928">
      <w:pPr>
        <w:pBdr>
          <w:bottom w:val="single" w:sz="6" w:space="1" w:color="auto"/>
        </w:pBdr>
        <w:spacing w:line="360" w:lineRule="auto"/>
        <w:jc w:val="both"/>
        <w:rPr>
          <w:rFonts w:ascii="Lucida Sans" w:hAnsi="Lucida Sans" w:cs="Arial"/>
          <w:b/>
          <w:bCs/>
          <w:sz w:val="32"/>
          <w:szCs w:val="32"/>
        </w:rPr>
      </w:pPr>
      <w:r w:rsidRPr="004D10AD">
        <w:rPr>
          <w:rFonts w:ascii="Lucida Sans" w:eastAsia="Lucida Sans" w:hAnsi="Lucida Sans" w:cs="Arial"/>
          <w:b/>
          <w:sz w:val="32"/>
          <w:szCs w:val="32"/>
          <w:lang w:bidi="fr-FR"/>
        </w:rPr>
        <w:t>Sobriété et flexibilité maximale</w:t>
      </w:r>
    </w:p>
    <w:p w14:paraId="6F3B4F46" w14:textId="50C6AC81" w:rsidR="00F13EEC" w:rsidRPr="004D10AD" w:rsidRDefault="002B4291" w:rsidP="00F13EEC">
      <w:pPr>
        <w:pBdr>
          <w:bottom w:val="single" w:sz="6" w:space="1" w:color="auto"/>
        </w:pBdr>
        <w:spacing w:line="360" w:lineRule="auto"/>
        <w:jc w:val="both"/>
        <w:rPr>
          <w:rFonts w:ascii="Arial" w:hAnsi="Arial" w:cs="Arial"/>
          <w:bCs/>
        </w:rPr>
      </w:pPr>
      <w:r w:rsidRPr="004D10AD">
        <w:rPr>
          <w:rFonts w:ascii="Arial" w:eastAsia="Arial" w:hAnsi="Arial" w:cs="Arial"/>
          <w:lang w:bidi="fr-FR"/>
        </w:rPr>
        <w:t>Le compresseur frigorifique à spirale de la série BT a un fonctionnement quasiment sans bruit ni vibrations. Avec la variante à fréquence variable, BOGE écrit l’efficacité énergétique avec un grand E : le sécheur adapte la consommation d’énergie à la charge thermique et au débit de fluide frigorifique, et a besoin de courants de démarrage plus faibles, ce qui réduit considérablement sa consommation, en particulier en charge partielle. L’adaptation aux besoins permet de réduire les coûts énergétiques, ce qui a un impact positif sur le coût total de possession. La régulation de fréquence assure des performances de séchage optimales et un point de rosée sous pression stable même en cas de faible sollicitation. Le réglage peut être adapté à l’utilisation grâce aux cinq modes de fonctionnement. « En choisissant un réglage plutôt qu’un autre, l’opérateur peut donner la priorité à l’économie maximale d’énergie, ou au meilleur point de rosée sous pression possible », explique Gunnar Heise, responsable produit chez BOGE. « Dans le 5</w:t>
      </w:r>
      <w:r w:rsidRPr="004D10AD">
        <w:rPr>
          <w:rFonts w:ascii="Arial" w:eastAsia="Arial" w:hAnsi="Arial" w:cs="Arial"/>
          <w:vertAlign w:val="superscript"/>
          <w:lang w:bidi="fr-FR"/>
        </w:rPr>
        <w:t>e</w:t>
      </w:r>
      <w:r w:rsidRPr="004D10AD">
        <w:rPr>
          <w:rFonts w:ascii="Arial" w:eastAsia="Arial" w:hAnsi="Arial" w:cs="Arial"/>
          <w:lang w:bidi="fr-FR"/>
        </w:rPr>
        <w:t xml:space="preserve"> mode de fonctionnement, le sécheur frigorifique passe automatiquement d’un mode à l’autre, afin de garantir des résultats optimaux. » Un facteur </w:t>
      </w:r>
      <w:r w:rsidRPr="004D10AD">
        <w:rPr>
          <w:rFonts w:ascii="Arial" w:eastAsia="Arial" w:hAnsi="Arial" w:cs="Arial"/>
          <w:lang w:bidi="fr-FR"/>
        </w:rPr>
        <w:lastRenderedPageBreak/>
        <w:t>d’économie supplémentaire : si le débit baisse en dessous de 20 %, la commande du compresseur frigorifique peut s’arrêter entièrement. Le condensat dans l’échangeur de chaleur refroidit l’air comprimé jusqu’à ce que le point de rosée dépasse la valeur de consigne. C'est alors seulement que le compresseur frigorifique se remet en marche. Le ventilateur à fréquence variable réduit lui aussi la consommation d’énergie. La régulation de fréquence permet un contrôle précis du refroidissement, ce qui permet une maîtrise de la température et une efficacité du séchage optimales.</w:t>
      </w:r>
    </w:p>
    <w:p w14:paraId="515D3594" w14:textId="6F58FAA0" w:rsidR="00F13EEC" w:rsidRPr="004D10AD" w:rsidRDefault="00023B63" w:rsidP="00F13EEC">
      <w:pPr>
        <w:pBdr>
          <w:bottom w:val="single" w:sz="6" w:space="1" w:color="auto"/>
        </w:pBdr>
        <w:spacing w:line="360" w:lineRule="auto"/>
        <w:jc w:val="both"/>
        <w:rPr>
          <w:rFonts w:ascii="Lucida Sans" w:hAnsi="Lucida Sans" w:cs="Arial"/>
          <w:b/>
          <w:bCs/>
          <w:sz w:val="32"/>
          <w:szCs w:val="32"/>
        </w:rPr>
      </w:pPr>
      <w:r w:rsidRPr="004D10AD">
        <w:rPr>
          <w:rFonts w:ascii="Lucida Sans" w:eastAsia="Lucida Sans" w:hAnsi="Lucida Sans" w:cs="Arial"/>
          <w:b/>
          <w:sz w:val="32"/>
          <w:szCs w:val="32"/>
          <w:lang w:bidi="fr-FR"/>
        </w:rPr>
        <w:t>Grande visibilité et faible empreinte carbone</w:t>
      </w:r>
    </w:p>
    <w:p w14:paraId="50E3DF56" w14:textId="448B8F7C" w:rsidR="004559E4" w:rsidRPr="004D10AD" w:rsidRDefault="00F13EEC" w:rsidP="00F13EEC">
      <w:pPr>
        <w:pBdr>
          <w:bottom w:val="single" w:sz="6" w:space="1" w:color="auto"/>
        </w:pBdr>
        <w:spacing w:line="360" w:lineRule="auto"/>
        <w:jc w:val="both"/>
        <w:rPr>
          <w:rFonts w:ascii="Arial" w:hAnsi="Arial" w:cs="Arial"/>
        </w:rPr>
      </w:pPr>
      <w:r w:rsidRPr="004D10AD">
        <w:rPr>
          <w:rFonts w:ascii="Arial" w:eastAsia="Arial" w:hAnsi="Arial" w:cs="Arial"/>
          <w:lang w:bidi="fr-FR"/>
        </w:rPr>
        <w:t>Le compresseur frigorifique est équipé d’un grand écran qui affiche de manière claire toutes les valeurs : charge du compresseur à fréquence variable, de la soupape de détente électronique et du ventilateur à vitesse variable, mais aussi différents paramètres tels que la température, la pression d’évaporation et de liquéfaction. Cette saisie de données exhaustive permet l’optimisation des processus et aide à l’identification des défauts. Elle permet également de mieux programmer les cycles de maintenance. Les compresseurs frigorifiques DT sont équipés de nombreuses interfaces qui assurent leur excellente connectivité afin de permettre leur intégration sans problèmes dans l’infrastructure existante.</w:t>
      </w:r>
    </w:p>
    <w:p w14:paraId="16760AAE" w14:textId="03BD508C" w:rsidR="00B816AC" w:rsidRPr="004D10AD" w:rsidRDefault="004766F8" w:rsidP="00B411BB">
      <w:pPr>
        <w:pBdr>
          <w:bottom w:val="single" w:sz="6" w:space="1" w:color="auto"/>
        </w:pBdr>
        <w:spacing w:line="360" w:lineRule="auto"/>
        <w:jc w:val="both"/>
        <w:rPr>
          <w:rFonts w:ascii="Arial" w:hAnsi="Arial" w:cs="Arial"/>
        </w:rPr>
      </w:pPr>
      <w:r w:rsidRPr="004D10AD">
        <w:rPr>
          <w:rFonts w:ascii="Arial" w:eastAsia="Arial" w:hAnsi="Arial" w:cs="Arial"/>
          <w:lang w:bidi="fr-FR"/>
        </w:rPr>
        <w:t>La série DT est équipée de série du réfrigérant R 513 A, qui respecte le climat et est durablement performant, grâce à son faible potentiel de réchauffement global. Étant donné que le circuit de réfrigérant est hermétique, le contrôle d'étanchéité annuel par un technicien frigoriste certifié n’est pas nécessaire. BOGE se conforme ainsi sans problème aux exigences du règlement F-Gaz UE 517/2014, améliore le bilan carbone et apporte ce faisant une contribution importante à la durabilité.</w:t>
      </w:r>
    </w:p>
    <w:p w14:paraId="5035F2A5" w14:textId="7C753CAE" w:rsidR="007657EF" w:rsidRPr="004D10AD" w:rsidRDefault="00480056" w:rsidP="006D642A">
      <w:pPr>
        <w:pBdr>
          <w:bottom w:val="single" w:sz="6" w:space="1" w:color="auto"/>
        </w:pBdr>
        <w:spacing w:line="288" w:lineRule="auto"/>
        <w:jc w:val="both"/>
        <w:rPr>
          <w:rFonts w:ascii="Arial" w:hAnsi="Arial" w:cs="Arial"/>
        </w:rPr>
      </w:pPr>
      <w:r w:rsidRPr="004D10AD">
        <w:rPr>
          <w:rFonts w:ascii="Arial" w:eastAsia="Arial" w:hAnsi="Arial" w:cs="Arial"/>
          <w:lang w:bidi="fr-FR"/>
        </w:rPr>
        <w:br/>
      </w:r>
    </w:p>
    <w:p w14:paraId="26E900CB" w14:textId="77777777" w:rsidR="00480056" w:rsidRPr="004D10AD" w:rsidRDefault="00480056" w:rsidP="00AC2C5F">
      <w:pPr>
        <w:spacing w:line="360" w:lineRule="auto"/>
        <w:jc w:val="both"/>
        <w:rPr>
          <w:rFonts w:ascii="Arial" w:hAnsi="Arial" w:cs="Arial"/>
        </w:rPr>
      </w:pPr>
    </w:p>
    <w:p w14:paraId="1B3852C8" w14:textId="081381D0" w:rsidR="00AC2C5F" w:rsidRPr="004D10AD" w:rsidRDefault="00AC2C5F" w:rsidP="00AC2C5F">
      <w:pPr>
        <w:pStyle w:val="Heading3"/>
        <w:rPr>
          <w:rFonts w:ascii="Arial" w:hAnsi="Arial" w:cs="Arial"/>
          <w:b/>
          <w:bCs/>
          <w:color w:val="auto"/>
          <w:sz w:val="22"/>
          <w:szCs w:val="22"/>
        </w:rPr>
      </w:pPr>
      <w:r w:rsidRPr="004D10AD">
        <w:rPr>
          <w:rFonts w:ascii="Arial" w:eastAsia="Arial" w:hAnsi="Arial" w:cs="Arial"/>
          <w:b/>
          <w:color w:val="auto"/>
          <w:sz w:val="22"/>
          <w:szCs w:val="22"/>
          <w:lang w:bidi="fr-FR"/>
        </w:rPr>
        <w:t>Version :</w:t>
      </w:r>
      <w:r w:rsidRPr="004D10AD">
        <w:rPr>
          <w:rFonts w:ascii="Arial" w:eastAsia="Arial" w:hAnsi="Arial" w:cs="Arial"/>
          <w:b/>
          <w:color w:val="auto"/>
          <w:sz w:val="22"/>
          <w:szCs w:val="22"/>
          <w:lang w:bidi="fr-FR"/>
        </w:rPr>
        <w:tab/>
      </w:r>
      <w:r w:rsidRPr="004D10AD">
        <w:rPr>
          <w:rFonts w:ascii="Arial" w:eastAsia="Arial" w:hAnsi="Arial" w:cs="Arial"/>
          <w:b/>
          <w:color w:val="auto"/>
          <w:sz w:val="22"/>
          <w:szCs w:val="22"/>
          <w:lang w:bidi="fr-FR"/>
        </w:rPr>
        <w:tab/>
        <w:t>7 octobre 2024</w:t>
      </w:r>
    </w:p>
    <w:p w14:paraId="5ACC7156" w14:textId="666FD1E4" w:rsidR="00AC2C5F" w:rsidRPr="004D10AD" w:rsidRDefault="00AC2C5F" w:rsidP="00AC2C5F">
      <w:pPr>
        <w:pStyle w:val="Heading3"/>
        <w:rPr>
          <w:rFonts w:ascii="Arial" w:hAnsi="Arial" w:cs="Arial"/>
          <w:b/>
          <w:bCs/>
          <w:color w:val="auto"/>
          <w:sz w:val="22"/>
          <w:szCs w:val="22"/>
        </w:rPr>
      </w:pPr>
      <w:r w:rsidRPr="004D10AD">
        <w:rPr>
          <w:rFonts w:ascii="Arial" w:eastAsia="Arial" w:hAnsi="Arial" w:cs="Arial"/>
          <w:b/>
          <w:color w:val="auto"/>
          <w:sz w:val="22"/>
          <w:szCs w:val="22"/>
          <w:lang w:bidi="fr-FR"/>
        </w:rPr>
        <w:t>Volume :</w:t>
      </w:r>
      <w:r w:rsidRPr="004D10AD">
        <w:rPr>
          <w:rFonts w:ascii="Arial" w:eastAsia="Arial" w:hAnsi="Arial" w:cs="Arial"/>
          <w:b/>
          <w:color w:val="auto"/>
          <w:sz w:val="22"/>
          <w:szCs w:val="22"/>
          <w:lang w:bidi="fr-FR"/>
        </w:rPr>
        <w:tab/>
        <w:t xml:space="preserve">xxxx caractères (espaces comprises) </w:t>
      </w:r>
    </w:p>
    <w:p w14:paraId="7024D04C" w14:textId="3C2E3504" w:rsidR="00AC2C5F" w:rsidRPr="004D10AD" w:rsidRDefault="00AC2C5F" w:rsidP="00AC2C5F">
      <w:pPr>
        <w:pStyle w:val="Heading3"/>
        <w:tabs>
          <w:tab w:val="left" w:pos="1134"/>
          <w:tab w:val="left" w:pos="1418"/>
        </w:tabs>
        <w:rPr>
          <w:rFonts w:ascii="Arial" w:hAnsi="Arial" w:cs="Arial"/>
          <w:b/>
          <w:bCs/>
          <w:color w:val="auto"/>
          <w:sz w:val="22"/>
          <w:szCs w:val="22"/>
        </w:rPr>
      </w:pPr>
      <w:r w:rsidRPr="004D10AD">
        <w:rPr>
          <w:rFonts w:ascii="Arial" w:eastAsia="Arial" w:hAnsi="Arial" w:cs="Arial"/>
          <w:b/>
          <w:color w:val="auto"/>
          <w:sz w:val="22"/>
          <w:szCs w:val="22"/>
          <w:lang w:bidi="fr-FR"/>
        </w:rPr>
        <w:t>Images :</w:t>
      </w:r>
      <w:r w:rsidRPr="004D10AD">
        <w:rPr>
          <w:rFonts w:ascii="Arial" w:eastAsia="Arial" w:hAnsi="Arial" w:cs="Arial"/>
          <w:b/>
          <w:color w:val="auto"/>
          <w:sz w:val="22"/>
          <w:szCs w:val="22"/>
          <w:lang w:bidi="fr-FR"/>
        </w:rPr>
        <w:tab/>
        <w:t xml:space="preserve">    </w:t>
      </w:r>
      <w:r w:rsidRPr="004D10AD">
        <w:rPr>
          <w:rFonts w:ascii="Arial" w:eastAsia="Arial" w:hAnsi="Arial" w:cs="Arial"/>
          <w:b/>
          <w:color w:val="auto"/>
          <w:sz w:val="22"/>
          <w:szCs w:val="22"/>
          <w:lang w:bidi="fr-FR"/>
        </w:rPr>
        <w:tab/>
        <w:t>1 (source : BOGE)</w:t>
      </w:r>
    </w:p>
    <w:p w14:paraId="4F57EE91" w14:textId="77777777" w:rsidR="00AC2C5F" w:rsidRPr="004D10AD" w:rsidRDefault="00AC2C5F" w:rsidP="00AC2C5F">
      <w:pPr>
        <w:rPr>
          <w:rFonts w:ascii="Arial" w:hAnsi="Arial" w:cs="Arial"/>
          <w:b/>
          <w:bCs/>
        </w:rPr>
      </w:pPr>
    </w:p>
    <w:p w14:paraId="7B680D5C" w14:textId="77777777" w:rsidR="00AC2C5F" w:rsidRPr="004D10AD" w:rsidRDefault="00AC2C5F" w:rsidP="00480056">
      <w:pPr>
        <w:pStyle w:val="Heading3"/>
        <w:tabs>
          <w:tab w:val="left" w:pos="1134"/>
          <w:tab w:val="left" w:pos="1418"/>
        </w:tabs>
        <w:spacing w:line="360" w:lineRule="auto"/>
        <w:rPr>
          <w:rFonts w:ascii="Lucida Sans" w:hAnsi="Lucida Sans" w:cs="Arial"/>
          <w:b/>
          <w:bCs/>
          <w:color w:val="auto"/>
        </w:rPr>
      </w:pPr>
      <w:r w:rsidRPr="004D10AD">
        <w:rPr>
          <w:rFonts w:ascii="Lucida Sans" w:eastAsia="Lucida Sans" w:hAnsi="Lucida Sans" w:cs="Arial"/>
          <w:b/>
          <w:color w:val="auto"/>
          <w:lang w:bidi="fr-FR"/>
        </w:rPr>
        <w:t>Légende des images :</w:t>
      </w:r>
    </w:p>
    <w:p w14:paraId="103AAD95" w14:textId="304DCAA2" w:rsidR="00913759" w:rsidRPr="004D10AD" w:rsidRDefault="00550958" w:rsidP="00913759">
      <w:pPr>
        <w:pBdr>
          <w:bottom w:val="single" w:sz="6" w:space="1" w:color="auto"/>
        </w:pBdr>
        <w:rPr>
          <w:rFonts w:ascii="Arial" w:hAnsi="Arial" w:cs="Arial"/>
        </w:rPr>
      </w:pPr>
      <w:r>
        <w:rPr>
          <w:rFonts w:ascii="Arial" w:eastAsia="Arial" w:hAnsi="Arial" w:cs="Arial"/>
          <w:lang w:bidi="fr-FR"/>
        </w:rPr>
        <w:t xml:space="preserve">Image 1 : En étendant sa série de sécheurs frigorifiques DT, BOGE propose aujourd’hui des modèles efficaces et respectueux de l’environnement, qui se distinguent par leur faible consommation. </w:t>
      </w:r>
      <w:r>
        <w:rPr>
          <w:rFonts w:ascii="Arial" w:eastAsia="Arial" w:hAnsi="Arial" w:cs="Arial"/>
          <w:lang w:bidi="fr-FR"/>
        </w:rPr>
        <w:br/>
      </w:r>
      <w:r>
        <w:rPr>
          <w:rFonts w:ascii="Arial" w:eastAsia="Arial" w:hAnsi="Arial" w:cs="Arial"/>
          <w:lang w:bidi="fr-FR"/>
        </w:rPr>
        <w:lastRenderedPageBreak/>
        <w:br/>
      </w:r>
    </w:p>
    <w:p w14:paraId="6D4C8FA6" w14:textId="77777777" w:rsidR="00AC2C5F" w:rsidRPr="004D10AD" w:rsidRDefault="00AC2C5F" w:rsidP="00AC2C5F">
      <w:pPr>
        <w:spacing w:line="360" w:lineRule="auto"/>
        <w:rPr>
          <w:rFonts w:ascii="Arial" w:hAnsi="Arial" w:cs="Arial"/>
        </w:rPr>
      </w:pPr>
    </w:p>
    <w:p w14:paraId="2D2FD502" w14:textId="4E15F1A8" w:rsidR="00AC2C5F" w:rsidRPr="00301A66" w:rsidRDefault="00AC2C5F" w:rsidP="00AC2C5F">
      <w:pPr>
        <w:spacing w:line="360" w:lineRule="auto"/>
        <w:jc w:val="both"/>
        <w:rPr>
          <w:rFonts w:ascii="Lucida Sans" w:hAnsi="Lucida Sans" w:cs="Arial"/>
          <w:sz w:val="28"/>
          <w:szCs w:val="28"/>
          <w:lang w:val="de-DE"/>
        </w:rPr>
      </w:pPr>
      <w:r w:rsidRPr="00301A66">
        <w:rPr>
          <w:rFonts w:ascii="Lucida Sans" w:hAnsi="Lucida Sans" w:cs="Arial"/>
          <w:b/>
          <w:sz w:val="28"/>
          <w:szCs w:val="28"/>
          <w:lang w:val="de-DE"/>
        </w:rPr>
        <w:t>Über BOGE</w:t>
      </w:r>
    </w:p>
    <w:p w14:paraId="1F0B7164" w14:textId="57EF5F5D" w:rsidR="00AC2C5F" w:rsidRPr="00301A66" w:rsidRDefault="000362E5" w:rsidP="00AC2C5F">
      <w:pPr>
        <w:spacing w:line="360" w:lineRule="auto"/>
        <w:jc w:val="both"/>
        <w:rPr>
          <w:rFonts w:ascii="Arial" w:hAnsi="Arial" w:cs="Arial"/>
          <w:bCs/>
          <w:lang w:val="de-DE"/>
        </w:rPr>
      </w:pPr>
      <w:r w:rsidRPr="00301A66">
        <w:rPr>
          <w:rFonts w:ascii="Arial" w:hAnsi="Arial" w:cs="Arial"/>
          <w:bCs/>
          <w:lang w:val="de-DE"/>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301A66" w:rsidRDefault="00AC2C5F" w:rsidP="00AC2C5F">
      <w:pPr>
        <w:pBdr>
          <w:bottom w:val="single" w:sz="6" w:space="1" w:color="auto"/>
        </w:pBdr>
        <w:spacing w:line="360" w:lineRule="auto"/>
        <w:jc w:val="both"/>
        <w:rPr>
          <w:rFonts w:ascii="Arial" w:hAnsi="Arial" w:cs="Arial"/>
          <w:lang w:val="de-DE"/>
        </w:rPr>
      </w:pPr>
    </w:p>
    <w:p w14:paraId="4DD667E7" w14:textId="77777777" w:rsidR="000362E5" w:rsidRPr="00301A66" w:rsidRDefault="000362E5">
      <w:pPr>
        <w:rPr>
          <w:rFonts w:ascii="Lucida Sans" w:hAnsi="Lucida Sans" w:cs="Arial"/>
          <w:b/>
          <w:sz w:val="28"/>
          <w:szCs w:val="28"/>
          <w:lang w:val="de-DE"/>
        </w:rPr>
      </w:pPr>
    </w:p>
    <w:p w14:paraId="0F55F03B" w14:textId="2DFE71ED" w:rsidR="00C3419C" w:rsidRPr="004D10AD"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rPr>
      </w:pPr>
      <w:r w:rsidRPr="004D10AD">
        <w:rPr>
          <w:rFonts w:ascii="Lucida Sans" w:eastAsia="Lucida Sans" w:hAnsi="Lucida Sans" w:cs="Arial"/>
          <w:b/>
          <w:sz w:val="28"/>
          <w:szCs w:val="28"/>
          <w:lang w:bidi="fr-FR"/>
        </w:rPr>
        <w:t>Contact de l’entreprise BOGE</w:t>
      </w:r>
    </w:p>
    <w:p w14:paraId="099E15C0"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 xml:space="preserve">Petra Hirsch </w:t>
      </w:r>
    </w:p>
    <w:p w14:paraId="10B51788"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Référente marketing</w:t>
      </w:r>
    </w:p>
    <w:p w14:paraId="04A11492"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Tél. : +49 5206 601-5841</w:t>
      </w:r>
    </w:p>
    <w:p w14:paraId="245C7C1F" w14:textId="60610246"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 xml:space="preserve">Fax : +49 5206 601-200 </w:t>
      </w:r>
    </w:p>
    <w:p w14:paraId="0546C770" w14:textId="310B94E9"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E-mail : P.Hirsch@boge.de</w:t>
      </w:r>
    </w:p>
    <w:p w14:paraId="075DC4C5"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p>
    <w:p w14:paraId="33526C12" w14:textId="77777777" w:rsidR="005A3891" w:rsidRPr="00301A66"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 xml:space="preserve">Sandra Jürging </w:t>
      </w:r>
    </w:p>
    <w:p w14:paraId="7C08B259" w14:textId="77777777" w:rsidR="005A3891" w:rsidRPr="00301A66"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Référente marketing</w:t>
      </w:r>
    </w:p>
    <w:p w14:paraId="74AEE8EE" w14:textId="77777777" w:rsidR="005A3891" w:rsidRPr="00301A66"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Tél. : +49 5206 601-5834</w:t>
      </w:r>
    </w:p>
    <w:p w14:paraId="752AE22D" w14:textId="77777777" w:rsidR="005A3891" w:rsidRPr="00301A66"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 xml:space="preserve">Fax : +49 5206 601-200 </w:t>
      </w:r>
    </w:p>
    <w:p w14:paraId="2FC99E18" w14:textId="0933D1F6" w:rsidR="00C3419C"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E-mail : S.Juerging@boge.de</w:t>
      </w:r>
    </w:p>
    <w:p w14:paraId="64C2DC27" w14:textId="77777777" w:rsidR="00C3419C" w:rsidRPr="004D10AD"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rPr>
      </w:pPr>
    </w:p>
    <w:p w14:paraId="2284B16A" w14:textId="5614BD06" w:rsidR="00C3419C" w:rsidRPr="004D10AD" w:rsidRDefault="00C3419C" w:rsidP="005A3891">
      <w:pPr>
        <w:rPr>
          <w:rFonts w:ascii="Lucida Sans" w:hAnsi="Lucida Sans" w:cs="Arial"/>
          <w:b/>
          <w:sz w:val="28"/>
          <w:szCs w:val="28"/>
        </w:rPr>
      </w:pPr>
      <w:r w:rsidRPr="004D10AD">
        <w:rPr>
          <w:rFonts w:ascii="Lucida Sans" w:eastAsia="Lucida Sans" w:hAnsi="Lucida Sans" w:cs="Arial"/>
          <w:b/>
          <w:sz w:val="28"/>
          <w:szCs w:val="28"/>
          <w:lang w:bidi="fr-FR"/>
        </w:rPr>
        <w:t>Agence de contact presse</w:t>
      </w:r>
    </w:p>
    <w:p w14:paraId="50919664" w14:textId="51714D96"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Lina Sophie Schmidt • additiv</w:t>
      </w:r>
    </w:p>
    <w:p w14:paraId="2955C8B6" w14:textId="77777777" w:rsidR="004247CF" w:rsidRPr="00301A66"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de-DE"/>
        </w:rPr>
      </w:pPr>
      <w:r w:rsidRPr="004D10AD">
        <w:rPr>
          <w:rFonts w:ascii="Arial" w:eastAsia="Arial" w:hAnsi="Arial" w:cs="Arial"/>
          <w:lang w:bidi="fr-FR"/>
        </w:rPr>
        <w:t xml:space="preserve">Une marque de l’entreprise additiv pr GmbH &amp; Co. </w:t>
      </w:r>
      <w:r w:rsidRPr="00301A66">
        <w:rPr>
          <w:rFonts w:ascii="Arial" w:eastAsia="Arial" w:hAnsi="Arial" w:cs="Arial"/>
          <w:lang w:val="de-DE" w:bidi="fr-FR"/>
        </w:rPr>
        <w:t>KG</w:t>
      </w:r>
    </w:p>
    <w:p w14:paraId="40063004" w14:textId="77844B9D" w:rsidR="003F6898" w:rsidRPr="00301A66"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de-DE"/>
        </w:rPr>
      </w:pPr>
      <w:r w:rsidRPr="00301A66">
        <w:rPr>
          <w:rFonts w:ascii="Arial" w:eastAsia="Arial" w:hAnsi="Arial" w:cs="Arial"/>
          <w:lang w:val="de-DE" w:bidi="fr-FR"/>
        </w:rPr>
        <w:lastRenderedPageBreak/>
        <w:t xml:space="preserve">B2B-Kommunikation für Logistik, Robotik, Industrie und IT </w:t>
      </w:r>
    </w:p>
    <w:p w14:paraId="52AD9501" w14:textId="49DECAE5" w:rsidR="003F6898" w:rsidRPr="00301A66"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it-IT"/>
        </w:rPr>
      </w:pPr>
      <w:r w:rsidRPr="00301A66">
        <w:rPr>
          <w:rFonts w:ascii="Arial" w:eastAsia="Arial" w:hAnsi="Arial" w:cs="Arial"/>
          <w:lang w:val="it-IT" w:bidi="fr-FR"/>
        </w:rPr>
        <w:t>Herzog-Adolf-Straße 3 • 56410 Montabaur • Allemagne</w:t>
      </w:r>
    </w:p>
    <w:p w14:paraId="57573820" w14:textId="2AB7D8A1" w:rsidR="00C3419C" w:rsidRPr="00301A66"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it-IT"/>
        </w:rPr>
      </w:pPr>
      <w:r w:rsidRPr="00301A66">
        <w:rPr>
          <w:rFonts w:ascii="Arial" w:eastAsia="Arial" w:hAnsi="Arial" w:cs="Arial"/>
          <w:lang w:val="it-IT" w:bidi="fr-FR"/>
        </w:rPr>
        <w:t>+49 2602 950 99 29 • ls@additiv.de • additiv.de</w:t>
      </w:r>
    </w:p>
    <w:p w14:paraId="1C72C737" w14:textId="77777777" w:rsidR="00AC2C5F" w:rsidRPr="00301A66" w:rsidRDefault="00AC2C5F" w:rsidP="006D642A">
      <w:pPr>
        <w:spacing w:line="288" w:lineRule="auto"/>
        <w:jc w:val="both"/>
        <w:rPr>
          <w:rFonts w:ascii="Arial" w:hAnsi="Arial" w:cs="Arial"/>
          <w:lang w:val="it-IT"/>
        </w:rPr>
      </w:pPr>
    </w:p>
    <w:sectPr w:rsidR="00AC2C5F" w:rsidRPr="00301A66" w:rsidSect="00A6514E">
      <w:headerReference w:type="default" r:id="rId9"/>
      <w:headerReference w:type="first" r:id="rId10"/>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C3931" w14:textId="77777777" w:rsidR="0070419C" w:rsidRDefault="0070419C" w:rsidP="007657EF">
      <w:pPr>
        <w:spacing w:after="0" w:line="240" w:lineRule="auto"/>
      </w:pPr>
      <w:r>
        <w:separator/>
      </w:r>
    </w:p>
  </w:endnote>
  <w:endnote w:type="continuationSeparator" w:id="0">
    <w:p w14:paraId="4B8171B3" w14:textId="77777777" w:rsidR="0070419C" w:rsidRDefault="0070419C" w:rsidP="0076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FF965" w14:textId="77777777" w:rsidR="0070419C" w:rsidRDefault="0070419C" w:rsidP="007657EF">
      <w:pPr>
        <w:spacing w:after="0" w:line="240" w:lineRule="auto"/>
      </w:pPr>
      <w:r>
        <w:separator/>
      </w:r>
    </w:p>
  </w:footnote>
  <w:footnote w:type="continuationSeparator" w:id="0">
    <w:p w14:paraId="1846666B" w14:textId="77777777" w:rsidR="0070419C" w:rsidRDefault="0070419C" w:rsidP="0076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8BB6" w14:textId="16672F3B" w:rsidR="006D642A" w:rsidRDefault="00067A7E" w:rsidP="006D642A">
    <w:pPr>
      <w:pStyle w:val="Header"/>
      <w:rPr>
        <w:b/>
        <w:bCs/>
        <w:color w:val="D9D9D9" w:themeColor="background1" w:themeShade="D9"/>
      </w:rPr>
    </w:pPr>
    <w:r>
      <w:rPr>
        <w:b/>
        <w:noProof/>
        <w:color w:val="D9D9D9" w:themeColor="background1" w:themeShade="D9"/>
        <w:lang w:bidi="fr-FR"/>
      </w:rPr>
      <w:drawing>
        <wp:anchor distT="0" distB="0" distL="114300" distR="114300" simplePos="0" relativeHeight="251665408"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color w:val="D9D9D9" w:themeColor="background1" w:themeShade="D9"/>
        <w:lang w:bidi="fr-FR"/>
      </w:rPr>
      <w:t>COMMUNIQUÉ DE PRESSE</w:t>
    </w:r>
  </w:p>
  <w:p w14:paraId="198127B6" w14:textId="77777777" w:rsidR="006D642A" w:rsidRDefault="006D642A" w:rsidP="006D642A">
    <w:pPr>
      <w:pStyle w:val="Header"/>
      <w:rPr>
        <w:b/>
        <w:bCs/>
        <w:color w:val="D9D9D9" w:themeColor="background1" w:themeShade="D9"/>
      </w:rPr>
    </w:pPr>
  </w:p>
  <w:p w14:paraId="61222945" w14:textId="77777777" w:rsidR="006D642A" w:rsidRDefault="006D642A" w:rsidP="006D642A">
    <w:pPr>
      <w:pStyle w:val="Header"/>
      <w:rPr>
        <w:b/>
        <w:bCs/>
        <w:color w:val="D9D9D9" w:themeColor="background1" w:themeShade="D9"/>
      </w:rPr>
    </w:pPr>
  </w:p>
  <w:p w14:paraId="76B6783E" w14:textId="77777777" w:rsidR="006D642A" w:rsidRPr="007657EF" w:rsidRDefault="006D642A" w:rsidP="006D642A">
    <w:pPr>
      <w:pStyle w:val="Header"/>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9702" w14:textId="79D4C1E0" w:rsidR="006D642A" w:rsidRPr="007657EF" w:rsidRDefault="001F0CB6" w:rsidP="008A7132">
    <w:pPr>
      <w:pStyle w:val="Header"/>
      <w:rPr>
        <w:b/>
        <w:bCs/>
        <w:color w:val="D9D9D9" w:themeColor="background1" w:themeShade="D9"/>
      </w:rPr>
    </w:pPr>
    <w:r>
      <w:rPr>
        <w:b/>
        <w:noProof/>
        <w:color w:val="D9D9D9" w:themeColor="background1" w:themeShade="D9"/>
        <w:lang w:bidi="fr-FR"/>
      </w:rPr>
      <w:drawing>
        <wp:anchor distT="0" distB="0" distL="114300" distR="114300" simplePos="0" relativeHeight="251663360"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color w:val="D9D9D9" w:themeColor="background1" w:themeShade="D9"/>
        <w:lang w:bidi="fr-FR"/>
      </w:rPr>
      <w:t>COMMUNIQUÉ DE PRESSE</w:t>
    </w:r>
  </w:p>
  <w:p w14:paraId="0103847A" w14:textId="77777777" w:rsidR="00157EEF" w:rsidRDefault="00157EEF">
    <w:pPr>
      <w:pStyle w:val="Header"/>
    </w:pPr>
  </w:p>
  <w:p w14:paraId="633FD556" w14:textId="79B350D2" w:rsidR="00157EEF" w:rsidRDefault="00157EEF">
    <w:pPr>
      <w:pStyle w:val="Header"/>
    </w:pPr>
  </w:p>
  <w:p w14:paraId="48E5D594" w14:textId="51173BFA" w:rsidR="006D642A" w:rsidRDefault="00157EEF">
    <w:pPr>
      <w:pStyle w:val="Header"/>
    </w:pPr>
    <w:r>
      <w:rPr>
        <w:noProof/>
        <w:lang w:bidi="fr-FR"/>
      </w:rPr>
      <mc:AlternateContent>
        <mc:Choice Requires="wps">
          <w:drawing>
            <wp:anchor distT="0" distB="0" distL="114300" distR="114300" simplePos="0" relativeHeight="251662336"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D589B" id="Gerader Verbinder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" strokecolor="#d8d8d8 [2732]"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05B1"/>
    <w:rsid w:val="00006299"/>
    <w:rsid w:val="000135F4"/>
    <w:rsid w:val="000172A0"/>
    <w:rsid w:val="00017FEE"/>
    <w:rsid w:val="00023B63"/>
    <w:rsid w:val="000362E5"/>
    <w:rsid w:val="0005271E"/>
    <w:rsid w:val="0006210C"/>
    <w:rsid w:val="00062477"/>
    <w:rsid w:val="00067A7E"/>
    <w:rsid w:val="00075C02"/>
    <w:rsid w:val="00081378"/>
    <w:rsid w:val="00081A7A"/>
    <w:rsid w:val="00081B0F"/>
    <w:rsid w:val="00082633"/>
    <w:rsid w:val="000934B5"/>
    <w:rsid w:val="00097A9E"/>
    <w:rsid w:val="000A2D61"/>
    <w:rsid w:val="000A2F84"/>
    <w:rsid w:val="000A44E4"/>
    <w:rsid w:val="000B2435"/>
    <w:rsid w:val="000C6EE2"/>
    <w:rsid w:val="000C78EA"/>
    <w:rsid w:val="000C7CF2"/>
    <w:rsid w:val="000D0CE3"/>
    <w:rsid w:val="000D0F96"/>
    <w:rsid w:val="000D22D9"/>
    <w:rsid w:val="000D4862"/>
    <w:rsid w:val="000E7DAA"/>
    <w:rsid w:val="000F2886"/>
    <w:rsid w:val="000F4493"/>
    <w:rsid w:val="000F666B"/>
    <w:rsid w:val="00101598"/>
    <w:rsid w:val="00103113"/>
    <w:rsid w:val="00105C21"/>
    <w:rsid w:val="00107BC5"/>
    <w:rsid w:val="0011379C"/>
    <w:rsid w:val="001167F0"/>
    <w:rsid w:val="00116BDF"/>
    <w:rsid w:val="00125957"/>
    <w:rsid w:val="0012755E"/>
    <w:rsid w:val="00127A73"/>
    <w:rsid w:val="00132BDB"/>
    <w:rsid w:val="00140561"/>
    <w:rsid w:val="00150BCB"/>
    <w:rsid w:val="00151FA7"/>
    <w:rsid w:val="00153508"/>
    <w:rsid w:val="00156944"/>
    <w:rsid w:val="00157EEF"/>
    <w:rsid w:val="0016176F"/>
    <w:rsid w:val="00162F54"/>
    <w:rsid w:val="0016383D"/>
    <w:rsid w:val="00172746"/>
    <w:rsid w:val="00185D06"/>
    <w:rsid w:val="00194701"/>
    <w:rsid w:val="001B4332"/>
    <w:rsid w:val="001B76AE"/>
    <w:rsid w:val="001C05B9"/>
    <w:rsid w:val="001C24E0"/>
    <w:rsid w:val="001E5752"/>
    <w:rsid w:val="001E6701"/>
    <w:rsid w:val="001F0CB6"/>
    <w:rsid w:val="001F2106"/>
    <w:rsid w:val="00201388"/>
    <w:rsid w:val="00201D95"/>
    <w:rsid w:val="00214FAE"/>
    <w:rsid w:val="00224D7D"/>
    <w:rsid w:val="00240E32"/>
    <w:rsid w:val="00251902"/>
    <w:rsid w:val="002522A2"/>
    <w:rsid w:val="0025775B"/>
    <w:rsid w:val="00261807"/>
    <w:rsid w:val="002626F7"/>
    <w:rsid w:val="00262BA8"/>
    <w:rsid w:val="00262F33"/>
    <w:rsid w:val="0026512A"/>
    <w:rsid w:val="00271A74"/>
    <w:rsid w:val="00275004"/>
    <w:rsid w:val="00275A25"/>
    <w:rsid w:val="002765D0"/>
    <w:rsid w:val="00280D15"/>
    <w:rsid w:val="00283141"/>
    <w:rsid w:val="002A0F58"/>
    <w:rsid w:val="002A6C5F"/>
    <w:rsid w:val="002B3F69"/>
    <w:rsid w:val="002B4291"/>
    <w:rsid w:val="002C00A3"/>
    <w:rsid w:val="002C0F55"/>
    <w:rsid w:val="002C27DB"/>
    <w:rsid w:val="002C5DA8"/>
    <w:rsid w:val="002D0182"/>
    <w:rsid w:val="002E2A43"/>
    <w:rsid w:val="002E483B"/>
    <w:rsid w:val="002E5A5B"/>
    <w:rsid w:val="002E73A8"/>
    <w:rsid w:val="002F335D"/>
    <w:rsid w:val="002F4835"/>
    <w:rsid w:val="002F676C"/>
    <w:rsid w:val="002F7C75"/>
    <w:rsid w:val="00301A66"/>
    <w:rsid w:val="0030717D"/>
    <w:rsid w:val="003227E5"/>
    <w:rsid w:val="0032451B"/>
    <w:rsid w:val="00325093"/>
    <w:rsid w:val="00327D3F"/>
    <w:rsid w:val="00330584"/>
    <w:rsid w:val="003323D9"/>
    <w:rsid w:val="00332E3D"/>
    <w:rsid w:val="0033781C"/>
    <w:rsid w:val="003379D9"/>
    <w:rsid w:val="00354D7A"/>
    <w:rsid w:val="003569A8"/>
    <w:rsid w:val="003579C1"/>
    <w:rsid w:val="0036080D"/>
    <w:rsid w:val="00363705"/>
    <w:rsid w:val="00366E8D"/>
    <w:rsid w:val="00375F64"/>
    <w:rsid w:val="003820F2"/>
    <w:rsid w:val="00391946"/>
    <w:rsid w:val="00397508"/>
    <w:rsid w:val="003976C5"/>
    <w:rsid w:val="003A3232"/>
    <w:rsid w:val="003A5D0C"/>
    <w:rsid w:val="003B4764"/>
    <w:rsid w:val="003C361B"/>
    <w:rsid w:val="003C407F"/>
    <w:rsid w:val="003D2FF7"/>
    <w:rsid w:val="003F141C"/>
    <w:rsid w:val="003F444F"/>
    <w:rsid w:val="003F5E10"/>
    <w:rsid w:val="003F6898"/>
    <w:rsid w:val="00403FFF"/>
    <w:rsid w:val="00407C5F"/>
    <w:rsid w:val="004131AF"/>
    <w:rsid w:val="00414C5E"/>
    <w:rsid w:val="00415681"/>
    <w:rsid w:val="004167C9"/>
    <w:rsid w:val="00422A6A"/>
    <w:rsid w:val="00424581"/>
    <w:rsid w:val="004247CF"/>
    <w:rsid w:val="0042489D"/>
    <w:rsid w:val="00430101"/>
    <w:rsid w:val="00432A3E"/>
    <w:rsid w:val="00433925"/>
    <w:rsid w:val="0044364D"/>
    <w:rsid w:val="004469DD"/>
    <w:rsid w:val="004555C3"/>
    <w:rsid w:val="004559E4"/>
    <w:rsid w:val="004561DF"/>
    <w:rsid w:val="00457A16"/>
    <w:rsid w:val="00460AC9"/>
    <w:rsid w:val="00465278"/>
    <w:rsid w:val="004703DF"/>
    <w:rsid w:val="004721F7"/>
    <w:rsid w:val="004760A5"/>
    <w:rsid w:val="004766F8"/>
    <w:rsid w:val="00480056"/>
    <w:rsid w:val="004829AE"/>
    <w:rsid w:val="0048388A"/>
    <w:rsid w:val="004A2413"/>
    <w:rsid w:val="004B38F5"/>
    <w:rsid w:val="004B7A1D"/>
    <w:rsid w:val="004C1B0F"/>
    <w:rsid w:val="004C2D21"/>
    <w:rsid w:val="004C49D8"/>
    <w:rsid w:val="004D10AD"/>
    <w:rsid w:val="004D27DA"/>
    <w:rsid w:val="004F1CE8"/>
    <w:rsid w:val="004F367E"/>
    <w:rsid w:val="00506457"/>
    <w:rsid w:val="005176C3"/>
    <w:rsid w:val="00525E66"/>
    <w:rsid w:val="00526B1B"/>
    <w:rsid w:val="0052798E"/>
    <w:rsid w:val="00533ED2"/>
    <w:rsid w:val="0053507E"/>
    <w:rsid w:val="00550958"/>
    <w:rsid w:val="005560E1"/>
    <w:rsid w:val="00557D58"/>
    <w:rsid w:val="00577804"/>
    <w:rsid w:val="0058262F"/>
    <w:rsid w:val="00596A34"/>
    <w:rsid w:val="005A37C1"/>
    <w:rsid w:val="005A3891"/>
    <w:rsid w:val="005A5279"/>
    <w:rsid w:val="005A7B28"/>
    <w:rsid w:val="005B2869"/>
    <w:rsid w:val="005B47BD"/>
    <w:rsid w:val="005B5A3D"/>
    <w:rsid w:val="005C28BC"/>
    <w:rsid w:val="005C4E36"/>
    <w:rsid w:val="005D5C81"/>
    <w:rsid w:val="005E7C3A"/>
    <w:rsid w:val="005F0D73"/>
    <w:rsid w:val="005F1867"/>
    <w:rsid w:val="005F24B2"/>
    <w:rsid w:val="005F3D9F"/>
    <w:rsid w:val="00602646"/>
    <w:rsid w:val="00604BEA"/>
    <w:rsid w:val="00607243"/>
    <w:rsid w:val="00610EF9"/>
    <w:rsid w:val="006145F8"/>
    <w:rsid w:val="00616C95"/>
    <w:rsid w:val="006239DD"/>
    <w:rsid w:val="00626CE4"/>
    <w:rsid w:val="0063157D"/>
    <w:rsid w:val="006315B4"/>
    <w:rsid w:val="0063288A"/>
    <w:rsid w:val="0063646E"/>
    <w:rsid w:val="006368D6"/>
    <w:rsid w:val="00642CB3"/>
    <w:rsid w:val="00645E72"/>
    <w:rsid w:val="006513DD"/>
    <w:rsid w:val="006522A1"/>
    <w:rsid w:val="00652B0F"/>
    <w:rsid w:val="00656AF2"/>
    <w:rsid w:val="00660EA4"/>
    <w:rsid w:val="00663E74"/>
    <w:rsid w:val="00670D2C"/>
    <w:rsid w:val="006725CD"/>
    <w:rsid w:val="0067727E"/>
    <w:rsid w:val="00686ED3"/>
    <w:rsid w:val="00692E45"/>
    <w:rsid w:val="006960D4"/>
    <w:rsid w:val="006A0005"/>
    <w:rsid w:val="006A30AC"/>
    <w:rsid w:val="006A5B9A"/>
    <w:rsid w:val="006A7904"/>
    <w:rsid w:val="006B6CE2"/>
    <w:rsid w:val="006B711D"/>
    <w:rsid w:val="006C3AA8"/>
    <w:rsid w:val="006C5FB1"/>
    <w:rsid w:val="006C7EC0"/>
    <w:rsid w:val="006D1868"/>
    <w:rsid w:val="006D36EA"/>
    <w:rsid w:val="006D642A"/>
    <w:rsid w:val="006E09F9"/>
    <w:rsid w:val="006E0B43"/>
    <w:rsid w:val="006E3DA7"/>
    <w:rsid w:val="006F21E8"/>
    <w:rsid w:val="006F372A"/>
    <w:rsid w:val="006F594B"/>
    <w:rsid w:val="006F5F22"/>
    <w:rsid w:val="00702A1B"/>
    <w:rsid w:val="0070419C"/>
    <w:rsid w:val="007075C3"/>
    <w:rsid w:val="00711749"/>
    <w:rsid w:val="007158CC"/>
    <w:rsid w:val="00724269"/>
    <w:rsid w:val="0072428D"/>
    <w:rsid w:val="0072486F"/>
    <w:rsid w:val="0073071E"/>
    <w:rsid w:val="0073162D"/>
    <w:rsid w:val="00731F1C"/>
    <w:rsid w:val="00734327"/>
    <w:rsid w:val="0073777E"/>
    <w:rsid w:val="007476D3"/>
    <w:rsid w:val="0074796E"/>
    <w:rsid w:val="00761A94"/>
    <w:rsid w:val="007657EF"/>
    <w:rsid w:val="0076718E"/>
    <w:rsid w:val="00771133"/>
    <w:rsid w:val="00775123"/>
    <w:rsid w:val="007755F9"/>
    <w:rsid w:val="007766F9"/>
    <w:rsid w:val="007769A4"/>
    <w:rsid w:val="00781657"/>
    <w:rsid w:val="00791FAC"/>
    <w:rsid w:val="007954AA"/>
    <w:rsid w:val="007A5E36"/>
    <w:rsid w:val="007A645D"/>
    <w:rsid w:val="007A6C73"/>
    <w:rsid w:val="007B01D4"/>
    <w:rsid w:val="007B0BF1"/>
    <w:rsid w:val="007B414C"/>
    <w:rsid w:val="007B7CBA"/>
    <w:rsid w:val="007C3390"/>
    <w:rsid w:val="007C650C"/>
    <w:rsid w:val="007E22FE"/>
    <w:rsid w:val="007E4577"/>
    <w:rsid w:val="007E4C8D"/>
    <w:rsid w:val="007F398E"/>
    <w:rsid w:val="007F6F55"/>
    <w:rsid w:val="008022B7"/>
    <w:rsid w:val="00812267"/>
    <w:rsid w:val="00821485"/>
    <w:rsid w:val="00821E84"/>
    <w:rsid w:val="00827277"/>
    <w:rsid w:val="00841557"/>
    <w:rsid w:val="00843883"/>
    <w:rsid w:val="0084768A"/>
    <w:rsid w:val="00855B76"/>
    <w:rsid w:val="0085603F"/>
    <w:rsid w:val="0086468B"/>
    <w:rsid w:val="00866FFE"/>
    <w:rsid w:val="00884379"/>
    <w:rsid w:val="00885BF6"/>
    <w:rsid w:val="00886899"/>
    <w:rsid w:val="008944B5"/>
    <w:rsid w:val="00895DCA"/>
    <w:rsid w:val="008A1143"/>
    <w:rsid w:val="008A39D9"/>
    <w:rsid w:val="008A7132"/>
    <w:rsid w:val="008B0878"/>
    <w:rsid w:val="008B1EEE"/>
    <w:rsid w:val="008B3EDA"/>
    <w:rsid w:val="008C33FF"/>
    <w:rsid w:val="008C6928"/>
    <w:rsid w:val="008C6EA0"/>
    <w:rsid w:val="008C7FC5"/>
    <w:rsid w:val="008D3D69"/>
    <w:rsid w:val="008F5063"/>
    <w:rsid w:val="009071DC"/>
    <w:rsid w:val="00911E59"/>
    <w:rsid w:val="00912EC2"/>
    <w:rsid w:val="00913759"/>
    <w:rsid w:val="009148A7"/>
    <w:rsid w:val="00921869"/>
    <w:rsid w:val="00923879"/>
    <w:rsid w:val="00930C31"/>
    <w:rsid w:val="00931312"/>
    <w:rsid w:val="00931ABA"/>
    <w:rsid w:val="009342DD"/>
    <w:rsid w:val="00936A10"/>
    <w:rsid w:val="00941A33"/>
    <w:rsid w:val="00943977"/>
    <w:rsid w:val="00944B92"/>
    <w:rsid w:val="00955499"/>
    <w:rsid w:val="00956972"/>
    <w:rsid w:val="00956D25"/>
    <w:rsid w:val="00972C02"/>
    <w:rsid w:val="00975B34"/>
    <w:rsid w:val="00986B9E"/>
    <w:rsid w:val="0098764C"/>
    <w:rsid w:val="009917B1"/>
    <w:rsid w:val="00991BF7"/>
    <w:rsid w:val="009A6078"/>
    <w:rsid w:val="009B4B73"/>
    <w:rsid w:val="009C2656"/>
    <w:rsid w:val="009D09F7"/>
    <w:rsid w:val="009D2766"/>
    <w:rsid w:val="009E6865"/>
    <w:rsid w:val="009F35DB"/>
    <w:rsid w:val="009F543F"/>
    <w:rsid w:val="009F6CB8"/>
    <w:rsid w:val="00A07443"/>
    <w:rsid w:val="00A2579E"/>
    <w:rsid w:val="00A37F4C"/>
    <w:rsid w:val="00A44C92"/>
    <w:rsid w:val="00A50664"/>
    <w:rsid w:val="00A534B5"/>
    <w:rsid w:val="00A570B7"/>
    <w:rsid w:val="00A6514E"/>
    <w:rsid w:val="00A66667"/>
    <w:rsid w:val="00A66ECE"/>
    <w:rsid w:val="00A71215"/>
    <w:rsid w:val="00A71CF7"/>
    <w:rsid w:val="00A73D1D"/>
    <w:rsid w:val="00A759F7"/>
    <w:rsid w:val="00A779CC"/>
    <w:rsid w:val="00A83708"/>
    <w:rsid w:val="00A869F4"/>
    <w:rsid w:val="00A86CCE"/>
    <w:rsid w:val="00A86E5C"/>
    <w:rsid w:val="00A92BD0"/>
    <w:rsid w:val="00A9640E"/>
    <w:rsid w:val="00A9690D"/>
    <w:rsid w:val="00AA503A"/>
    <w:rsid w:val="00AB00D1"/>
    <w:rsid w:val="00AB2C46"/>
    <w:rsid w:val="00AB4567"/>
    <w:rsid w:val="00AB4CE7"/>
    <w:rsid w:val="00AC2C5F"/>
    <w:rsid w:val="00AC41CA"/>
    <w:rsid w:val="00AC658A"/>
    <w:rsid w:val="00AC66B1"/>
    <w:rsid w:val="00AD4922"/>
    <w:rsid w:val="00AD66A5"/>
    <w:rsid w:val="00AE6390"/>
    <w:rsid w:val="00B00039"/>
    <w:rsid w:val="00B00B2D"/>
    <w:rsid w:val="00B02B4C"/>
    <w:rsid w:val="00B04036"/>
    <w:rsid w:val="00B05CCA"/>
    <w:rsid w:val="00B0774D"/>
    <w:rsid w:val="00B1427C"/>
    <w:rsid w:val="00B22E69"/>
    <w:rsid w:val="00B37A47"/>
    <w:rsid w:val="00B37AF7"/>
    <w:rsid w:val="00B411BB"/>
    <w:rsid w:val="00B50198"/>
    <w:rsid w:val="00B601E6"/>
    <w:rsid w:val="00B62658"/>
    <w:rsid w:val="00B629C1"/>
    <w:rsid w:val="00B632C0"/>
    <w:rsid w:val="00B65936"/>
    <w:rsid w:val="00B70B4A"/>
    <w:rsid w:val="00B72B51"/>
    <w:rsid w:val="00B816AC"/>
    <w:rsid w:val="00B8437A"/>
    <w:rsid w:val="00B869CC"/>
    <w:rsid w:val="00B9129C"/>
    <w:rsid w:val="00B97033"/>
    <w:rsid w:val="00BB4BDC"/>
    <w:rsid w:val="00BB4E44"/>
    <w:rsid w:val="00BC01F2"/>
    <w:rsid w:val="00BC2B34"/>
    <w:rsid w:val="00BC4438"/>
    <w:rsid w:val="00BD0A20"/>
    <w:rsid w:val="00BD0F28"/>
    <w:rsid w:val="00BD1F2C"/>
    <w:rsid w:val="00BD26D3"/>
    <w:rsid w:val="00BD2888"/>
    <w:rsid w:val="00BD53B4"/>
    <w:rsid w:val="00BD7881"/>
    <w:rsid w:val="00BF6756"/>
    <w:rsid w:val="00BF6BA6"/>
    <w:rsid w:val="00C01404"/>
    <w:rsid w:val="00C02AB6"/>
    <w:rsid w:val="00C2270F"/>
    <w:rsid w:val="00C22B3A"/>
    <w:rsid w:val="00C234B3"/>
    <w:rsid w:val="00C23D26"/>
    <w:rsid w:val="00C27B1F"/>
    <w:rsid w:val="00C310D9"/>
    <w:rsid w:val="00C3419C"/>
    <w:rsid w:val="00C35109"/>
    <w:rsid w:val="00C470C9"/>
    <w:rsid w:val="00C470E6"/>
    <w:rsid w:val="00C577ED"/>
    <w:rsid w:val="00C665F1"/>
    <w:rsid w:val="00C81408"/>
    <w:rsid w:val="00C827E4"/>
    <w:rsid w:val="00C8363A"/>
    <w:rsid w:val="00CA6873"/>
    <w:rsid w:val="00CB08C0"/>
    <w:rsid w:val="00CB1257"/>
    <w:rsid w:val="00CC50E8"/>
    <w:rsid w:val="00CD4321"/>
    <w:rsid w:val="00CD6779"/>
    <w:rsid w:val="00CE30EA"/>
    <w:rsid w:val="00CE3689"/>
    <w:rsid w:val="00CE4C63"/>
    <w:rsid w:val="00CF0B3C"/>
    <w:rsid w:val="00CF6491"/>
    <w:rsid w:val="00CF7DDF"/>
    <w:rsid w:val="00D04512"/>
    <w:rsid w:val="00D12A7C"/>
    <w:rsid w:val="00D12ABF"/>
    <w:rsid w:val="00D32CAF"/>
    <w:rsid w:val="00D43975"/>
    <w:rsid w:val="00D44561"/>
    <w:rsid w:val="00D44595"/>
    <w:rsid w:val="00D46844"/>
    <w:rsid w:val="00D502AC"/>
    <w:rsid w:val="00D60FAE"/>
    <w:rsid w:val="00D610C8"/>
    <w:rsid w:val="00D645F8"/>
    <w:rsid w:val="00D73B1C"/>
    <w:rsid w:val="00D74A87"/>
    <w:rsid w:val="00D82C96"/>
    <w:rsid w:val="00D901D1"/>
    <w:rsid w:val="00D91EDE"/>
    <w:rsid w:val="00D923AB"/>
    <w:rsid w:val="00D93233"/>
    <w:rsid w:val="00D9549B"/>
    <w:rsid w:val="00D968A4"/>
    <w:rsid w:val="00D97769"/>
    <w:rsid w:val="00DA45AC"/>
    <w:rsid w:val="00DB3F4A"/>
    <w:rsid w:val="00DB7ACB"/>
    <w:rsid w:val="00DC1DE1"/>
    <w:rsid w:val="00DC468B"/>
    <w:rsid w:val="00DD0CE0"/>
    <w:rsid w:val="00DD10B1"/>
    <w:rsid w:val="00DD3159"/>
    <w:rsid w:val="00DE4587"/>
    <w:rsid w:val="00DE5AA7"/>
    <w:rsid w:val="00DF5804"/>
    <w:rsid w:val="00DF6F8C"/>
    <w:rsid w:val="00E002FB"/>
    <w:rsid w:val="00E026EE"/>
    <w:rsid w:val="00E04E7E"/>
    <w:rsid w:val="00E06398"/>
    <w:rsid w:val="00E07ABF"/>
    <w:rsid w:val="00E13187"/>
    <w:rsid w:val="00E213F5"/>
    <w:rsid w:val="00E21894"/>
    <w:rsid w:val="00E26B45"/>
    <w:rsid w:val="00E32560"/>
    <w:rsid w:val="00E37228"/>
    <w:rsid w:val="00E5143E"/>
    <w:rsid w:val="00E533DC"/>
    <w:rsid w:val="00E557B9"/>
    <w:rsid w:val="00E57261"/>
    <w:rsid w:val="00E64F07"/>
    <w:rsid w:val="00E71F4A"/>
    <w:rsid w:val="00E7342D"/>
    <w:rsid w:val="00E73F18"/>
    <w:rsid w:val="00E747C3"/>
    <w:rsid w:val="00E752C6"/>
    <w:rsid w:val="00E81101"/>
    <w:rsid w:val="00E8172A"/>
    <w:rsid w:val="00E81A1E"/>
    <w:rsid w:val="00E85A2D"/>
    <w:rsid w:val="00E87253"/>
    <w:rsid w:val="00EA324B"/>
    <w:rsid w:val="00EB0B44"/>
    <w:rsid w:val="00ED4731"/>
    <w:rsid w:val="00EE6284"/>
    <w:rsid w:val="00EF2B1A"/>
    <w:rsid w:val="00F0556B"/>
    <w:rsid w:val="00F0620E"/>
    <w:rsid w:val="00F07CA6"/>
    <w:rsid w:val="00F13B89"/>
    <w:rsid w:val="00F13EEC"/>
    <w:rsid w:val="00F15BC0"/>
    <w:rsid w:val="00F222D4"/>
    <w:rsid w:val="00F241CE"/>
    <w:rsid w:val="00F26F58"/>
    <w:rsid w:val="00F3120A"/>
    <w:rsid w:val="00F362C7"/>
    <w:rsid w:val="00F407C0"/>
    <w:rsid w:val="00F41D76"/>
    <w:rsid w:val="00F47571"/>
    <w:rsid w:val="00F50D72"/>
    <w:rsid w:val="00F558A2"/>
    <w:rsid w:val="00F5678C"/>
    <w:rsid w:val="00F60FA5"/>
    <w:rsid w:val="00F71819"/>
    <w:rsid w:val="00F747A2"/>
    <w:rsid w:val="00F76122"/>
    <w:rsid w:val="00F7761C"/>
    <w:rsid w:val="00F8094E"/>
    <w:rsid w:val="00F871D0"/>
    <w:rsid w:val="00F9685E"/>
    <w:rsid w:val="00FA74AB"/>
    <w:rsid w:val="00FB1538"/>
    <w:rsid w:val="00FB3778"/>
    <w:rsid w:val="00FC1505"/>
    <w:rsid w:val="00FD0CD2"/>
    <w:rsid w:val="00FD7C05"/>
    <w:rsid w:val="00FD7CF1"/>
    <w:rsid w:val="00FE1853"/>
    <w:rsid w:val="00FE2E7D"/>
    <w:rsid w:val="00FE6726"/>
    <w:rsid w:val="00FE67F3"/>
    <w:rsid w:val="00FE7ADA"/>
    <w:rsid w:val="00FF486F"/>
    <w:rsid w:val="00FF5B13"/>
    <w:rsid w:val="00FF6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chartTrackingRefBased/>
  <w15:docId w15:val="{603F4AAB-95D6-485B-BF10-7662C7DA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65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7EF"/>
    <w:rPr>
      <w:rFonts w:eastAsiaTheme="majorEastAsia" w:cstheme="majorBidi"/>
      <w:color w:val="272727" w:themeColor="text1" w:themeTint="D8"/>
    </w:rPr>
  </w:style>
  <w:style w:type="paragraph" w:styleId="Title">
    <w:name w:val="Title"/>
    <w:basedOn w:val="Normal"/>
    <w:next w:val="Normal"/>
    <w:link w:val="TitleChar"/>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7EF"/>
    <w:pPr>
      <w:spacing w:before="160"/>
      <w:jc w:val="center"/>
    </w:pPr>
    <w:rPr>
      <w:i/>
      <w:iCs/>
      <w:color w:val="404040" w:themeColor="text1" w:themeTint="BF"/>
    </w:rPr>
  </w:style>
  <w:style w:type="character" w:customStyle="1" w:styleId="QuoteChar">
    <w:name w:val="Quote Char"/>
    <w:basedOn w:val="DefaultParagraphFont"/>
    <w:link w:val="Quote"/>
    <w:uiPriority w:val="29"/>
    <w:rsid w:val="007657EF"/>
    <w:rPr>
      <w:i/>
      <w:iCs/>
      <w:color w:val="404040" w:themeColor="text1" w:themeTint="BF"/>
    </w:rPr>
  </w:style>
  <w:style w:type="paragraph" w:styleId="ListParagraph">
    <w:name w:val="List Paragraph"/>
    <w:basedOn w:val="Normal"/>
    <w:uiPriority w:val="34"/>
    <w:qFormat/>
    <w:rsid w:val="007657EF"/>
    <w:pPr>
      <w:ind w:left="720"/>
      <w:contextualSpacing/>
    </w:pPr>
  </w:style>
  <w:style w:type="character" w:styleId="IntenseEmphasis">
    <w:name w:val="Intense Emphasis"/>
    <w:basedOn w:val="DefaultParagraphFont"/>
    <w:uiPriority w:val="21"/>
    <w:qFormat/>
    <w:rsid w:val="007657EF"/>
    <w:rPr>
      <w:i/>
      <w:iCs/>
      <w:color w:val="0F4761" w:themeColor="accent1" w:themeShade="BF"/>
    </w:rPr>
  </w:style>
  <w:style w:type="paragraph" w:styleId="IntenseQuote">
    <w:name w:val="Intense Quote"/>
    <w:basedOn w:val="Normal"/>
    <w:next w:val="Normal"/>
    <w:link w:val="IntenseQuoteChar"/>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7EF"/>
    <w:rPr>
      <w:i/>
      <w:iCs/>
      <w:color w:val="0F4761" w:themeColor="accent1" w:themeShade="BF"/>
    </w:rPr>
  </w:style>
  <w:style w:type="character" w:styleId="IntenseReference">
    <w:name w:val="Intense Reference"/>
    <w:basedOn w:val="DefaultParagraphFont"/>
    <w:uiPriority w:val="32"/>
    <w:qFormat/>
    <w:rsid w:val="007657EF"/>
    <w:rPr>
      <w:b/>
      <w:bCs/>
      <w:smallCaps/>
      <w:color w:val="0F4761" w:themeColor="accent1" w:themeShade="BF"/>
      <w:spacing w:val="5"/>
    </w:rPr>
  </w:style>
  <w:style w:type="paragraph" w:styleId="Header">
    <w:name w:val="header"/>
    <w:basedOn w:val="Normal"/>
    <w:link w:val="HeaderChar"/>
    <w:uiPriority w:val="99"/>
    <w:unhideWhenUsed/>
    <w:rsid w:val="007657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57EF"/>
  </w:style>
  <w:style w:type="paragraph" w:styleId="Footer">
    <w:name w:val="footer"/>
    <w:basedOn w:val="Normal"/>
    <w:link w:val="FooterChar"/>
    <w:uiPriority w:val="99"/>
    <w:unhideWhenUsed/>
    <w:rsid w:val="007657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57EF"/>
  </w:style>
  <w:style w:type="character" w:styleId="CommentReference">
    <w:name w:val="annotation reference"/>
    <w:basedOn w:val="DefaultParagraphFont"/>
    <w:uiPriority w:val="99"/>
    <w:semiHidden/>
    <w:unhideWhenUsed/>
    <w:rsid w:val="000A2F84"/>
    <w:rPr>
      <w:sz w:val="16"/>
      <w:szCs w:val="16"/>
    </w:rPr>
  </w:style>
  <w:style w:type="paragraph" w:styleId="CommentText">
    <w:name w:val="annotation text"/>
    <w:basedOn w:val="Normal"/>
    <w:link w:val="CommentTextChar"/>
    <w:uiPriority w:val="99"/>
    <w:unhideWhenUsed/>
    <w:rsid w:val="000A2F84"/>
    <w:pPr>
      <w:spacing w:line="240" w:lineRule="auto"/>
    </w:pPr>
    <w:rPr>
      <w:sz w:val="20"/>
      <w:szCs w:val="20"/>
    </w:rPr>
  </w:style>
  <w:style w:type="character" w:customStyle="1" w:styleId="CommentTextChar">
    <w:name w:val="Comment Text Char"/>
    <w:basedOn w:val="DefaultParagraphFont"/>
    <w:link w:val="CommentText"/>
    <w:uiPriority w:val="99"/>
    <w:rsid w:val="000A2F84"/>
    <w:rPr>
      <w:sz w:val="20"/>
      <w:szCs w:val="20"/>
    </w:rPr>
  </w:style>
  <w:style w:type="paragraph" w:styleId="CommentSubject">
    <w:name w:val="annotation subject"/>
    <w:basedOn w:val="CommentText"/>
    <w:next w:val="CommentText"/>
    <w:link w:val="CommentSubjectChar"/>
    <w:uiPriority w:val="99"/>
    <w:semiHidden/>
    <w:unhideWhenUsed/>
    <w:rsid w:val="000A2F84"/>
    <w:rPr>
      <w:b/>
      <w:bCs/>
    </w:rPr>
  </w:style>
  <w:style w:type="character" w:customStyle="1" w:styleId="CommentSubjectChar">
    <w:name w:val="Comment Subject Char"/>
    <w:basedOn w:val="CommentTextChar"/>
    <w:link w:val="CommentSubject"/>
    <w:uiPriority w:val="99"/>
    <w:semiHidden/>
    <w:rsid w:val="000A2F84"/>
    <w:rPr>
      <w:b/>
      <w:bCs/>
      <w:sz w:val="20"/>
      <w:szCs w:val="20"/>
    </w:rPr>
  </w:style>
  <w:style w:type="paragraph" w:styleId="Revision">
    <w:name w:val="Revision"/>
    <w:hidden/>
    <w:uiPriority w:val="99"/>
    <w:semiHidden/>
    <w:rsid w:val="00017FEE"/>
    <w:pPr>
      <w:spacing w:after="0" w:line="240" w:lineRule="auto"/>
    </w:pPr>
  </w:style>
  <w:style w:type="character" w:customStyle="1" w:styleId="A3">
    <w:name w:val="A3"/>
    <w:uiPriority w:val="99"/>
    <w:rsid w:val="00A570B7"/>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4859d35863c5b3a2c5e28b548a257c07">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d9f709c57646a99dc98b1100d0e0cb8"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9279270C-9C6E-40A1-8526-BB6D0B136AC4}">
  <ds:schemaRefs>
    <ds:schemaRef ds:uri="http://schemas.microsoft.com/sharepoint/v3/contenttype/forms"/>
  </ds:schemaRefs>
</ds:datastoreItem>
</file>

<file path=customXml/itemProps2.xml><?xml version="1.0" encoding="utf-8"?>
<ds:datastoreItem xmlns:ds="http://schemas.openxmlformats.org/officeDocument/2006/customXml" ds:itemID="{B6A1C775-6E95-4AD1-94E3-EC1F0478D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B7812-FD99-4BE3-883F-AC967BE2CDB0}">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5016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Bock</dc:creator>
  <cp:keywords/>
  <dc:description/>
  <cp:lastModifiedBy>MARINELLI, Martina</cp:lastModifiedBy>
  <cp:revision>3</cp:revision>
  <dcterms:created xsi:type="dcterms:W3CDTF">2024-10-11T15:47:00Z</dcterms:created>
  <dcterms:modified xsi:type="dcterms:W3CDTF">2024-10-11T15:53:00Z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